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65BF" w14:textId="77777777" w:rsidR="00CB4C11" w:rsidRDefault="00EB5776" w:rsidP="00CB4C11">
      <w:r>
        <w:t>Resolution and supporting statement to the Celtic PLC AGM 2021 from the Celtic Trust</w:t>
      </w:r>
    </w:p>
    <w:p w14:paraId="553761D7" w14:textId="76AEC249" w:rsidR="00EB5776" w:rsidRDefault="00CB4C11" w:rsidP="00CB4C11">
      <w:r>
        <w:t xml:space="preserve">This AGM instructs </w:t>
      </w:r>
      <w:r w:rsidR="00EB5776">
        <w:t>the Chairman of the Board of Directors of Celtic PLC to:</w:t>
      </w:r>
    </w:p>
    <w:p w14:paraId="3E4C3DAE" w14:textId="59E9A2A2" w:rsidR="00EB5776" w:rsidRDefault="00EB5776" w:rsidP="00EB5776">
      <w:pPr>
        <w:pStyle w:val="ListParagraph"/>
        <w:numPr>
          <w:ilvl w:val="0"/>
          <w:numId w:val="1"/>
        </w:numPr>
      </w:pPr>
      <w:r>
        <w:t>Take immediate, transparent steps to satisfy shareholders that the existing Non-Executive Directors are genuinely independent and, given the length of time some of them have been in place</w:t>
      </w:r>
      <w:r w:rsidR="008438B0">
        <w:t>,</w:t>
      </w:r>
      <w:r>
        <w:t xml:space="preserve"> to publicise plans for their replacement </w:t>
      </w:r>
      <w:proofErr w:type="gramStart"/>
      <w:r>
        <w:t>in the near future</w:t>
      </w:r>
      <w:proofErr w:type="gramEnd"/>
    </w:p>
    <w:p w14:paraId="694E22F3" w14:textId="7FF53433" w:rsidR="00EB5776" w:rsidRDefault="00EB5776" w:rsidP="00EB5776">
      <w:pPr>
        <w:pStyle w:val="ListParagraph"/>
        <w:numPr>
          <w:ilvl w:val="0"/>
          <w:numId w:val="1"/>
        </w:numPr>
      </w:pPr>
      <w:r>
        <w:t>To set up a Relationship Agreement between the principal shareholder, Dermot Desmond, which is designed to protect the interests of all other shareholders.</w:t>
      </w:r>
    </w:p>
    <w:p w14:paraId="7CE09577" w14:textId="77777777" w:rsidR="00D35CF6" w:rsidRDefault="00D35CF6" w:rsidP="00D35CF6">
      <w:pPr>
        <w:pStyle w:val="ListParagraph"/>
      </w:pPr>
    </w:p>
    <w:p w14:paraId="74912570" w14:textId="0553EAF3" w:rsidR="00EB5776" w:rsidRPr="00D35CF6" w:rsidRDefault="00D35CF6" w:rsidP="00D35CF6">
      <w:pPr>
        <w:spacing w:after="0"/>
        <w:rPr>
          <w:b/>
          <w:bCs/>
        </w:rPr>
      </w:pPr>
      <w:r w:rsidRPr="00D35CF6">
        <w:rPr>
          <w:b/>
          <w:bCs/>
        </w:rPr>
        <w:t>Supporting statement</w:t>
      </w:r>
    </w:p>
    <w:p w14:paraId="31BDDDEC" w14:textId="1FC85182" w:rsidR="00EB5776" w:rsidRDefault="00EB5776" w:rsidP="00D35CF6">
      <w:pPr>
        <w:spacing w:after="0"/>
      </w:pPr>
      <w:r>
        <w:t xml:space="preserve">On 6/9/2021 the current Company Secretary </w:t>
      </w:r>
      <w:r w:rsidR="008438B0">
        <w:t xml:space="preserve">responded in writing to the </w:t>
      </w:r>
      <w:r>
        <w:t xml:space="preserve">Celtic Trust </w:t>
      </w:r>
      <w:r w:rsidR="008438B0">
        <w:t xml:space="preserve">regarding a </w:t>
      </w:r>
      <w:r>
        <w:t xml:space="preserve">to </w:t>
      </w:r>
      <w:proofErr w:type="gramStart"/>
      <w:r>
        <w:t>a number of</w:t>
      </w:r>
      <w:proofErr w:type="gramEnd"/>
      <w:r>
        <w:t xml:space="preserve"> concerns </w:t>
      </w:r>
      <w:r w:rsidR="008438B0">
        <w:t>which the Trust had r</w:t>
      </w:r>
      <w:r>
        <w:t>aised with the PLC</w:t>
      </w:r>
      <w:r w:rsidR="008438B0">
        <w:t xml:space="preserve">.  These concerns related to the </w:t>
      </w:r>
      <w:r>
        <w:t>standard</w:t>
      </w:r>
      <w:r w:rsidR="008438B0">
        <w:t xml:space="preserve"> </w:t>
      </w:r>
      <w:r>
        <w:t>of corporate governance and compliance with the Quoted Companies Alliance (QCA) Corporate Governance Code</w:t>
      </w:r>
      <w:r w:rsidR="004E1E82">
        <w:t xml:space="preserve"> </w:t>
      </w:r>
      <w:proofErr w:type="gramStart"/>
      <w:r w:rsidR="004E1E82">
        <w:t>which</w:t>
      </w:r>
      <w:proofErr w:type="gramEnd"/>
      <w:r w:rsidR="004E1E82">
        <w:t xml:space="preserve"> Celtic PLC adopted in 2018.</w:t>
      </w:r>
    </w:p>
    <w:p w14:paraId="5AF5E4A9" w14:textId="3ED7F2C5" w:rsidR="004E1E82" w:rsidRDefault="004E1E82" w:rsidP="00EB5776">
      <w:r>
        <w:t xml:space="preserve">Specifically, </w:t>
      </w:r>
      <w:r w:rsidR="008438B0">
        <w:t>the Trust</w:t>
      </w:r>
      <w:r>
        <w:t xml:space="preserve"> raised concerns about the independence of the Non-Executive Directors and the </w:t>
      </w:r>
      <w:r w:rsidR="008438B0">
        <w:t>position</w:t>
      </w:r>
      <w:r>
        <w:t xml:space="preserve"> of the largest shareholder, Dermot Desmond</w:t>
      </w:r>
      <w:r w:rsidR="008438B0">
        <w:t xml:space="preserve">, </w:t>
      </w:r>
      <w:r>
        <w:t>which</w:t>
      </w:r>
      <w:r w:rsidR="008438B0">
        <w:t>, it was suggested,</w:t>
      </w:r>
      <w:r>
        <w:t xml:space="preserve"> should be </w:t>
      </w:r>
      <w:r w:rsidR="008438B0">
        <w:t xml:space="preserve">regulated </w:t>
      </w:r>
      <w:r>
        <w:t>by way of, what is known as a relationship agreement</w:t>
      </w:r>
      <w:r w:rsidR="00254958">
        <w:t xml:space="preserve">.  This is a common approach in a situation in which there is a dominant shareholder, </w:t>
      </w:r>
      <w:proofErr w:type="gramStart"/>
      <w:r>
        <w:t>which</w:t>
      </w:r>
      <w:proofErr w:type="gramEnd"/>
      <w:r>
        <w:t xml:space="preserve"> seeks to protect the rights of smaller shareholders.</w:t>
      </w:r>
      <w:r w:rsidR="008438B0">
        <w:t xml:space="preserve">  Specifically, we said:</w:t>
      </w:r>
    </w:p>
    <w:p w14:paraId="4B4C1EB7" w14:textId="63C00E18" w:rsidR="008438B0" w:rsidRPr="008438B0" w:rsidRDefault="008438B0" w:rsidP="008438B0">
      <w:pPr>
        <w:ind w:left="720"/>
        <w:rPr>
          <w:i/>
          <w:iCs/>
        </w:rPr>
      </w:pPr>
      <w:r>
        <w:rPr>
          <w:i/>
          <w:iCs/>
        </w:rPr>
        <w:t>“</w:t>
      </w:r>
      <w:r w:rsidRPr="004E1E82">
        <w:rPr>
          <w:i/>
          <w:iCs/>
        </w:rPr>
        <w:t xml:space="preserve">Accepted good practice may include putting in place contractual arrangements such as a relationship agreement'.  Mr Desmond can be properly described as a dominant shareholder </w:t>
      </w:r>
      <w:proofErr w:type="gramStart"/>
      <w:r w:rsidRPr="004E1E82">
        <w:rPr>
          <w:i/>
          <w:iCs/>
        </w:rPr>
        <w:t>and,</w:t>
      </w:r>
      <w:proofErr w:type="gramEnd"/>
      <w:r w:rsidRPr="004E1E82">
        <w:rPr>
          <w:i/>
          <w:iCs/>
        </w:rPr>
        <w:t xml:space="preserve"> very likely, a controlling shareholder when </w:t>
      </w:r>
      <w:r w:rsidRPr="008438B0">
        <w:rPr>
          <w:i/>
          <w:iCs/>
        </w:rPr>
        <w:t>non-voting</w:t>
      </w:r>
      <w:r w:rsidRPr="004E1E82">
        <w:rPr>
          <w:i/>
          <w:iCs/>
        </w:rPr>
        <w:t xml:space="preserve"> untraced shares and full dilution are accounted for.</w:t>
      </w:r>
      <w:r>
        <w:rPr>
          <w:i/>
          <w:iCs/>
        </w:rPr>
        <w:t>”</w:t>
      </w:r>
    </w:p>
    <w:p w14:paraId="094965B5" w14:textId="77E37E43" w:rsidR="004E1E82" w:rsidRDefault="004E1E82" w:rsidP="004E1E82">
      <w:r>
        <w:t xml:space="preserve">The response to both issues were that the PLC’s position was: </w:t>
      </w:r>
    </w:p>
    <w:p w14:paraId="3CDE2BCA" w14:textId="77777777" w:rsidR="004E1E82" w:rsidRDefault="004E1E82" w:rsidP="004E1E82">
      <w:pPr>
        <w:pStyle w:val="ListParagraph"/>
        <w:numPr>
          <w:ilvl w:val="0"/>
          <w:numId w:val="5"/>
        </w:numPr>
      </w:pPr>
      <w:r>
        <w:t xml:space="preserve">The PLC apply the code and have satisfied themselves that the current </w:t>
      </w:r>
      <w:proofErr w:type="gramStart"/>
      <w:r>
        <w:t>NED’s</w:t>
      </w:r>
      <w:proofErr w:type="gramEnd"/>
      <w:r>
        <w:t xml:space="preserve"> remain independent and</w:t>
      </w:r>
    </w:p>
    <w:p w14:paraId="38D57A9F" w14:textId="7A5B0330" w:rsidR="004E1E82" w:rsidRDefault="004E1E82" w:rsidP="004E1E82">
      <w:pPr>
        <w:pStyle w:val="ListParagraph"/>
        <w:numPr>
          <w:ilvl w:val="0"/>
          <w:numId w:val="5"/>
        </w:numPr>
      </w:pPr>
      <w:r>
        <w:t xml:space="preserve">That there is no legal or regulatory requirement for a relationship agreement and that </w:t>
      </w:r>
    </w:p>
    <w:p w14:paraId="1096474B" w14:textId="747C085E" w:rsidR="004E1E82" w:rsidRDefault="004E1E82" w:rsidP="004E1E82">
      <w:pPr>
        <w:ind w:left="720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  <w:i/>
          <w:iCs/>
        </w:rPr>
        <w:t>“</w:t>
      </w:r>
      <w:r w:rsidRPr="004E1E82">
        <w:rPr>
          <w:rFonts w:ascii="Calibri" w:eastAsia="Times New Roman" w:hAnsi="Calibri" w:cs="Calibri"/>
          <w:i/>
          <w:iCs/>
        </w:rPr>
        <w:t xml:space="preserve">The Board and its Nomad (Canaccord Genuity) are satisfied that Celtic’s governance structures are appropriate and protect the interests of all </w:t>
      </w:r>
      <w:proofErr w:type="gramStart"/>
      <w:r w:rsidRPr="004E1E82">
        <w:rPr>
          <w:rFonts w:ascii="Calibri" w:eastAsia="Times New Roman" w:hAnsi="Calibri" w:cs="Calibri"/>
          <w:i/>
          <w:iCs/>
        </w:rPr>
        <w:t>shareholders..</w:t>
      </w:r>
      <w:proofErr w:type="gramEnd"/>
      <w:r>
        <w:rPr>
          <w:rFonts w:ascii="Calibri" w:eastAsia="Times New Roman" w:hAnsi="Calibri" w:cs="Calibri"/>
          <w:i/>
          <w:iCs/>
        </w:rPr>
        <w:t>”</w:t>
      </w:r>
    </w:p>
    <w:p w14:paraId="555A058B" w14:textId="4ED2E9B2" w:rsidR="008438B0" w:rsidRDefault="008438B0" w:rsidP="008438B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There is evidence in the public domain to suggest that the disconnect between the PLC Board and the supporters/small shareholders is wider than it has been for decades.  Increasing concern about both the governance of the club and the competence of its directors must be addressed </w:t>
      </w:r>
      <w:proofErr w:type="gramStart"/>
      <w:r>
        <w:rPr>
          <w:rFonts w:ascii="Calibri" w:eastAsia="Times New Roman" w:hAnsi="Calibri" w:cs="Calibri"/>
        </w:rPr>
        <w:t>in order to</w:t>
      </w:r>
      <w:proofErr w:type="gramEnd"/>
      <w:r>
        <w:rPr>
          <w:rFonts w:ascii="Calibri" w:eastAsia="Times New Roman" w:hAnsi="Calibri" w:cs="Calibri"/>
        </w:rPr>
        <w:t xml:space="preserve"> resolve this issue.  The proposals made here seek to ensure that the governance of the PLC is not only of a high standard but is transparently so.  The existing mechanisms highlighted in the Annual Report and on the </w:t>
      </w:r>
      <w:proofErr w:type="gramStart"/>
      <w:r w:rsidR="00254958">
        <w:rPr>
          <w:rFonts w:ascii="Calibri" w:eastAsia="Times New Roman" w:hAnsi="Calibri" w:cs="Calibri"/>
        </w:rPr>
        <w:t>c</w:t>
      </w:r>
      <w:r>
        <w:rPr>
          <w:rFonts w:ascii="Calibri" w:eastAsia="Times New Roman" w:hAnsi="Calibri" w:cs="Calibri"/>
        </w:rPr>
        <w:t>ompany</w:t>
      </w:r>
      <w:proofErr w:type="gramEnd"/>
      <w:r>
        <w:rPr>
          <w:rFonts w:ascii="Calibri" w:eastAsia="Times New Roman" w:hAnsi="Calibri" w:cs="Calibri"/>
        </w:rPr>
        <w:t xml:space="preserve"> website are insufficient for that purpose.</w:t>
      </w:r>
    </w:p>
    <w:p w14:paraId="4EF0F1BC" w14:textId="77777777" w:rsidR="00D35CF6" w:rsidRPr="00D35CF6" w:rsidRDefault="00D35CF6" w:rsidP="00D35CF6">
      <w:pP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D35CF6">
        <w:rPr>
          <w:rFonts w:ascii="Calibri" w:eastAsia="Calibri" w:hAnsi="Calibri" w:cs="Arial"/>
          <w:sz w:val="24"/>
          <w:szCs w:val="24"/>
          <w:lang w:eastAsia="en-US"/>
        </w:rPr>
        <w:t>NAME______________________________________________________________________</w:t>
      </w:r>
    </w:p>
    <w:p w14:paraId="0C7690BE" w14:textId="77777777" w:rsidR="00D35CF6" w:rsidRPr="00D35CF6" w:rsidRDefault="00D35CF6" w:rsidP="00D35CF6">
      <w:pP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34A7AF73" w14:textId="280E9FD3" w:rsidR="00B74EBA" w:rsidRDefault="00D35CF6" w:rsidP="00D35CF6">
      <w:pP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D35CF6">
        <w:rPr>
          <w:rFonts w:ascii="Calibri" w:eastAsia="Calibri" w:hAnsi="Calibri" w:cs="Arial"/>
          <w:sz w:val="24"/>
          <w:szCs w:val="24"/>
          <w:lang w:eastAsia="en-US"/>
        </w:rPr>
        <w:t>ADDRESS</w:t>
      </w:r>
    </w:p>
    <w:p w14:paraId="3B9B7B87" w14:textId="4F3B653D" w:rsidR="00D35CF6" w:rsidRPr="00D35CF6" w:rsidRDefault="00D35CF6" w:rsidP="00D35CF6">
      <w:pP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D35CF6">
        <w:rPr>
          <w:rFonts w:ascii="Calibri" w:eastAsia="Calibri" w:hAnsi="Calibri" w:cs="Arial"/>
          <w:sz w:val="24"/>
          <w:szCs w:val="24"/>
          <w:lang w:eastAsia="en-US"/>
        </w:rPr>
        <w:t>___________________________________________________________________</w:t>
      </w:r>
    </w:p>
    <w:p w14:paraId="56DEADDA" w14:textId="77777777" w:rsidR="00D35CF6" w:rsidRPr="00D35CF6" w:rsidRDefault="00D35CF6" w:rsidP="00D35CF6">
      <w:pP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37C06CCC" w14:textId="77777777" w:rsidR="00D35CF6" w:rsidRPr="00D35CF6" w:rsidRDefault="00D35CF6" w:rsidP="00D35CF6">
      <w:pP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D35CF6">
        <w:rPr>
          <w:rFonts w:ascii="Calibri" w:eastAsia="Calibri" w:hAnsi="Calibri" w:cs="Arial"/>
          <w:sz w:val="24"/>
          <w:szCs w:val="24"/>
          <w:lang w:eastAsia="en-US"/>
        </w:rPr>
        <w:t>___________________________________________________________________________</w:t>
      </w:r>
    </w:p>
    <w:p w14:paraId="6C1A9776" w14:textId="77777777" w:rsidR="00D35CF6" w:rsidRPr="00D35CF6" w:rsidRDefault="00D35CF6" w:rsidP="00D35CF6">
      <w:pP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2D8AD1DF" w14:textId="3C776D94" w:rsidR="00D35CF6" w:rsidRPr="00D35CF6" w:rsidRDefault="00D35CF6" w:rsidP="000A1503">
      <w:pP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D35CF6">
        <w:rPr>
          <w:rFonts w:ascii="Calibri" w:eastAsia="Calibri" w:hAnsi="Calibri" w:cs="Arial"/>
          <w:sz w:val="24"/>
          <w:szCs w:val="24"/>
          <w:lang w:eastAsia="en-US"/>
        </w:rPr>
        <w:t>SIGNED____________________________________________________DATE____________</w:t>
      </w:r>
    </w:p>
    <w:p w14:paraId="41A22E7B" w14:textId="77777777" w:rsidR="00D35CF6" w:rsidRPr="00D35CF6" w:rsidRDefault="00D35CF6" w:rsidP="00D35CF6">
      <w:pPr>
        <w:spacing w:after="0" w:line="240" w:lineRule="auto"/>
        <w:rPr>
          <w:rFonts w:ascii="Calibri" w:eastAsia="Calibri" w:hAnsi="Calibri" w:cs="Arial"/>
          <w:b/>
          <w:sz w:val="24"/>
          <w:szCs w:val="24"/>
          <w:lang w:eastAsia="en-US"/>
        </w:rPr>
      </w:pPr>
    </w:p>
    <w:sectPr w:rsidR="00D35CF6" w:rsidRPr="00D35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C4C"/>
    <w:multiLevelType w:val="hybridMultilevel"/>
    <w:tmpl w:val="2D0CAF9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229D5"/>
    <w:multiLevelType w:val="hybridMultilevel"/>
    <w:tmpl w:val="242ABE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D5801"/>
    <w:multiLevelType w:val="hybridMultilevel"/>
    <w:tmpl w:val="AF1EBD0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A6989"/>
    <w:multiLevelType w:val="hybridMultilevel"/>
    <w:tmpl w:val="E1806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A2781"/>
    <w:multiLevelType w:val="hybridMultilevel"/>
    <w:tmpl w:val="6C2A08F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76"/>
    <w:rsid w:val="00026BB8"/>
    <w:rsid w:val="000A1503"/>
    <w:rsid w:val="000B1CD4"/>
    <w:rsid w:val="00254958"/>
    <w:rsid w:val="00294F32"/>
    <w:rsid w:val="00401D1A"/>
    <w:rsid w:val="004E1E82"/>
    <w:rsid w:val="00563846"/>
    <w:rsid w:val="00590439"/>
    <w:rsid w:val="008438B0"/>
    <w:rsid w:val="00B74EBA"/>
    <w:rsid w:val="00CB4C11"/>
    <w:rsid w:val="00D23831"/>
    <w:rsid w:val="00D35CF6"/>
    <w:rsid w:val="00E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AE74"/>
  <w15:chartTrackingRefBased/>
  <w15:docId w15:val="{4486DF9C-BF10-4F66-BDEA-FCEB4C52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Findlay</dc:creator>
  <cp:keywords/>
  <dc:description/>
  <cp:lastModifiedBy>Jeanette Findlay</cp:lastModifiedBy>
  <cp:revision>2</cp:revision>
  <dcterms:created xsi:type="dcterms:W3CDTF">2021-10-15T22:41:00Z</dcterms:created>
  <dcterms:modified xsi:type="dcterms:W3CDTF">2021-10-15T22:41:00Z</dcterms:modified>
</cp:coreProperties>
</file>